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EAF58" w14:textId="77777777" w:rsidR="007A6AA7" w:rsidRDefault="007A6AA7" w:rsidP="007A6AA7">
      <w:pPr>
        <w:pStyle w:val="AralkYok"/>
        <w:spacing w:line="360" w:lineRule="auto"/>
        <w:rPr>
          <w:rFonts w:ascii="Times New Roman" w:hAnsi="Times New Roman" w:cs="Times New Roman"/>
        </w:rPr>
      </w:pPr>
    </w:p>
    <w:p w14:paraId="6DF27F67" w14:textId="37907EBF" w:rsidR="007A6AA7" w:rsidRPr="007A6AA7" w:rsidRDefault="007A6AA7" w:rsidP="007A6AA7">
      <w:pPr>
        <w:pStyle w:val="AralkYok"/>
        <w:spacing w:line="360" w:lineRule="auto"/>
        <w:rPr>
          <w:rFonts w:ascii="Times New Roman" w:hAnsi="Times New Roman" w:cs="Times New Roman"/>
        </w:rPr>
      </w:pPr>
      <w:r w:rsidRPr="007A6AA7">
        <w:rPr>
          <w:rFonts w:ascii="Times New Roman" w:hAnsi="Times New Roman" w:cs="Times New Roman"/>
        </w:rPr>
        <w:t>BASIN BÜLTENİ</w:t>
      </w:r>
    </w:p>
    <w:p w14:paraId="0B0E9758" w14:textId="77777777" w:rsidR="007A6AA7" w:rsidRDefault="007A6AA7" w:rsidP="007A6AA7">
      <w:pPr>
        <w:pStyle w:val="AralkYok"/>
        <w:spacing w:line="360" w:lineRule="auto"/>
        <w:jc w:val="both"/>
        <w:rPr>
          <w:rFonts w:ascii="Times New Roman" w:hAnsi="Times New Roman" w:cs="Times New Roman"/>
          <w:b/>
          <w:bCs/>
        </w:rPr>
      </w:pPr>
      <w:r w:rsidRPr="007A6AA7">
        <w:rPr>
          <w:rFonts w:ascii="Times New Roman" w:hAnsi="Times New Roman" w:cs="Times New Roman"/>
          <w:b/>
          <w:bCs/>
        </w:rPr>
        <w:t>IDEX İstanbul 2027, Dental Sektörünün Küresel Buluşma Noktası Olmaya Hazırlanıyor</w:t>
      </w:r>
    </w:p>
    <w:p w14:paraId="715BBCD1" w14:textId="77777777" w:rsidR="007A6AA7" w:rsidRPr="007A6AA7" w:rsidRDefault="007A6AA7" w:rsidP="007A6AA7">
      <w:pPr>
        <w:pStyle w:val="AralkYok"/>
        <w:spacing w:line="360" w:lineRule="auto"/>
        <w:jc w:val="both"/>
        <w:rPr>
          <w:rFonts w:ascii="Times New Roman" w:hAnsi="Times New Roman" w:cs="Times New Roman"/>
          <w:b/>
          <w:bCs/>
        </w:rPr>
      </w:pPr>
    </w:p>
    <w:p w14:paraId="49D0C749" w14:textId="77777777" w:rsid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“Dünyayı Gülümseten Teknolojiler” temasıyla düzenlenecek IDEX İstanbul 2027; yenilikçi dental teknolojileri, uluslararası iş birliklerini ve geleceğe yön veren eğitim programlarını 14-17 Nisan 2027 tarihlerinde İstanbul’da buluşturacak.</w:t>
      </w:r>
    </w:p>
    <w:p w14:paraId="0ABA65BA" w14:textId="77777777" w:rsidR="007A6AA7" w:rsidRPr="007A6AA7" w:rsidRDefault="007A6AA7" w:rsidP="007A6AA7">
      <w:pPr>
        <w:pStyle w:val="AralkYok"/>
        <w:spacing w:line="360" w:lineRule="auto"/>
        <w:jc w:val="both"/>
        <w:rPr>
          <w:rFonts w:ascii="Times New Roman" w:hAnsi="Times New Roman" w:cs="Times New Roman"/>
        </w:rPr>
      </w:pPr>
    </w:p>
    <w:p w14:paraId="697A1DD3" w14:textId="614E070A" w:rsid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IDEX İstanbul Uluslararası Dental Fuar ve Konferansı, 14-17 Nisan 2027 tarihleri arasında İstanbul Fuar Merkezi’nde gerçekleştirilecek. Dünyanın farklı bölgelerinden dental sektör profesyonellerini ağırlayacak organizasyon; yeni teknolojilerin sergilendiği, ticari bağlantıların kurulduğu ve sektördeki güncel gelişmelerin ele alındığı kapsamlı bir buluşma platformu sunacak. </w:t>
      </w:r>
    </w:p>
    <w:p w14:paraId="4ACBC9B3" w14:textId="77777777" w:rsidR="007A6AA7" w:rsidRPr="007A6AA7" w:rsidRDefault="007A6AA7" w:rsidP="007A6AA7">
      <w:pPr>
        <w:pStyle w:val="AralkYok"/>
        <w:spacing w:line="360" w:lineRule="auto"/>
        <w:jc w:val="both"/>
        <w:rPr>
          <w:rFonts w:ascii="Times New Roman" w:hAnsi="Times New Roman" w:cs="Times New Roman"/>
        </w:rPr>
      </w:pPr>
    </w:p>
    <w:p w14:paraId="0CD70D7C" w14:textId="77777777" w:rsid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2026 yılında 135’ten fazla ülkeden 99 bin 238 profesyoneli bir araya getiren IDEX İstanbul, bölgenin en büyük, dünyanın ise ikinci en büyük dental fuarı olma konumunu 2027 yılında daha ileri taşımayı hedefliyor. Bir önceki organizasyonda 34 bin 80 yabancı ve 65 bin 158 yerli ziyaretçi fuarı takip ederken, 50 farklı ülkeden toplam 525 katılımcı firma ürün ve çözümlerini sektör profesyonelleriyle buluşturdu. </w:t>
      </w:r>
    </w:p>
    <w:p w14:paraId="7ED636B7" w14:textId="77777777" w:rsidR="007A6AA7" w:rsidRPr="007A6AA7" w:rsidRDefault="007A6AA7" w:rsidP="007A6AA7">
      <w:pPr>
        <w:pStyle w:val="AralkYok"/>
        <w:spacing w:line="360" w:lineRule="auto"/>
        <w:jc w:val="both"/>
        <w:rPr>
          <w:rFonts w:ascii="Times New Roman" w:hAnsi="Times New Roman" w:cs="Times New Roman"/>
        </w:rPr>
      </w:pPr>
    </w:p>
    <w:p w14:paraId="312CFBC1" w14:textId="77777777" w:rsidR="007A6AA7" w:rsidRPr="007A6AA7" w:rsidRDefault="007A6AA7" w:rsidP="007A6AA7">
      <w:pPr>
        <w:pStyle w:val="AralkYok"/>
        <w:spacing w:line="360" w:lineRule="auto"/>
        <w:jc w:val="both"/>
        <w:rPr>
          <w:rFonts w:ascii="Times New Roman" w:hAnsi="Times New Roman" w:cs="Times New Roman"/>
          <w:b/>
          <w:bCs/>
        </w:rPr>
      </w:pPr>
      <w:r w:rsidRPr="007A6AA7">
        <w:rPr>
          <w:rFonts w:ascii="Times New Roman" w:hAnsi="Times New Roman" w:cs="Times New Roman"/>
          <w:b/>
          <w:bCs/>
        </w:rPr>
        <w:t>100 binden fazla sektör profesyoneli İstanbul’da buluşacak</w:t>
      </w:r>
    </w:p>
    <w:p w14:paraId="25C2ED50" w14:textId="77777777" w:rsid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IDEX İstanbul 2027’nin 60 bin metrekarelik fuar alanında 750’nin üzerinde dental firmaya ve 7 binden fazla dental markaya ev sahipliği yapması öngörülüyor. Organizasyon kapsamında 100 binden fazla dental sektör profesyonelinin ağırlanması ve 450 milyon doların üzerinde ticaret hacmi oluşturulması hedefleniyor. </w:t>
      </w:r>
    </w:p>
    <w:p w14:paraId="7F822698" w14:textId="77777777" w:rsidR="007A6AA7" w:rsidRPr="007A6AA7" w:rsidRDefault="007A6AA7" w:rsidP="007A6AA7">
      <w:pPr>
        <w:pStyle w:val="AralkYok"/>
        <w:spacing w:line="360" w:lineRule="auto"/>
        <w:jc w:val="both"/>
        <w:rPr>
          <w:rFonts w:ascii="Times New Roman" w:hAnsi="Times New Roman" w:cs="Times New Roman"/>
        </w:rPr>
      </w:pPr>
    </w:p>
    <w:p w14:paraId="4216D381" w14:textId="795037F8" w:rsid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 xml:space="preserve">Fuar; diş hekimlerinden diş teknisyenlerine, dental ticaret firmalarından akademisyenlere, öğrencilerden dental asistan ve </w:t>
      </w:r>
      <w:proofErr w:type="spellStart"/>
      <w:r w:rsidRPr="007A6AA7">
        <w:rPr>
          <w:rFonts w:ascii="Times New Roman" w:hAnsi="Times New Roman" w:cs="Times New Roman"/>
        </w:rPr>
        <w:t>hijyenistlere</w:t>
      </w:r>
      <w:proofErr w:type="spellEnd"/>
      <w:r w:rsidRPr="007A6AA7">
        <w:rPr>
          <w:rFonts w:ascii="Times New Roman" w:hAnsi="Times New Roman" w:cs="Times New Roman"/>
        </w:rPr>
        <w:t xml:space="preserve"> kadar sektörün farklı paydaşlarını aynı çatı altında buluşturacak. Önceki organizasyonun ziyaretçi profilinde diş hekimleri yüzde 44 ile ilk sırada yer alırken, </w:t>
      </w:r>
      <w:r w:rsidR="004C05EC">
        <w:rPr>
          <w:rFonts w:ascii="Times New Roman" w:hAnsi="Times New Roman" w:cs="Times New Roman"/>
        </w:rPr>
        <w:t xml:space="preserve">diş hekimliği </w:t>
      </w:r>
      <w:r w:rsidRPr="007A6AA7">
        <w:rPr>
          <w:rFonts w:ascii="Times New Roman" w:hAnsi="Times New Roman" w:cs="Times New Roman"/>
        </w:rPr>
        <w:t>öğrenciler</w:t>
      </w:r>
      <w:r w:rsidR="004C05EC">
        <w:rPr>
          <w:rFonts w:ascii="Times New Roman" w:hAnsi="Times New Roman" w:cs="Times New Roman"/>
        </w:rPr>
        <w:t>i</w:t>
      </w:r>
      <w:r w:rsidRPr="007A6AA7">
        <w:rPr>
          <w:rFonts w:ascii="Times New Roman" w:hAnsi="Times New Roman" w:cs="Times New Roman"/>
        </w:rPr>
        <w:t xml:space="preserve"> yüzde 17, diş teknisyenleri yüzde 12 ve dental ticaret firmaları yüzde 11 pay aldı. </w:t>
      </w:r>
    </w:p>
    <w:p w14:paraId="5182BD66" w14:textId="77777777" w:rsidR="007A6AA7" w:rsidRPr="007A6AA7" w:rsidRDefault="007A6AA7" w:rsidP="007A6AA7">
      <w:pPr>
        <w:pStyle w:val="AralkYok"/>
        <w:spacing w:line="360" w:lineRule="auto"/>
        <w:jc w:val="both"/>
        <w:rPr>
          <w:rFonts w:ascii="Times New Roman" w:hAnsi="Times New Roman" w:cs="Times New Roman"/>
        </w:rPr>
      </w:pPr>
    </w:p>
    <w:p w14:paraId="294F859E" w14:textId="77777777" w:rsidR="007A6AA7" w:rsidRDefault="007A6AA7" w:rsidP="007A6AA7">
      <w:pPr>
        <w:pStyle w:val="AralkYok"/>
        <w:spacing w:line="360" w:lineRule="auto"/>
        <w:jc w:val="both"/>
        <w:rPr>
          <w:rFonts w:ascii="Times New Roman" w:hAnsi="Times New Roman" w:cs="Times New Roman"/>
        </w:rPr>
      </w:pPr>
    </w:p>
    <w:p w14:paraId="428F32D6" w14:textId="77777777" w:rsidR="007A6AA7" w:rsidRDefault="007A6AA7" w:rsidP="007A6AA7">
      <w:pPr>
        <w:pStyle w:val="AralkYok"/>
        <w:spacing w:line="360" w:lineRule="auto"/>
        <w:jc w:val="both"/>
        <w:rPr>
          <w:rFonts w:ascii="Times New Roman" w:hAnsi="Times New Roman" w:cs="Times New Roman"/>
          <w:b/>
          <w:bCs/>
        </w:rPr>
      </w:pPr>
    </w:p>
    <w:p w14:paraId="00BCD39C" w14:textId="5674312B" w:rsidR="007A6AA7" w:rsidRPr="007A6AA7" w:rsidRDefault="007A6AA7" w:rsidP="007A6AA7">
      <w:pPr>
        <w:pStyle w:val="AralkYok"/>
        <w:spacing w:line="360" w:lineRule="auto"/>
        <w:jc w:val="both"/>
        <w:rPr>
          <w:rFonts w:ascii="Times New Roman" w:hAnsi="Times New Roman" w:cs="Times New Roman"/>
          <w:b/>
          <w:bCs/>
        </w:rPr>
      </w:pPr>
      <w:r w:rsidRPr="007A6AA7">
        <w:rPr>
          <w:rFonts w:ascii="Times New Roman" w:hAnsi="Times New Roman" w:cs="Times New Roman"/>
          <w:b/>
          <w:bCs/>
        </w:rPr>
        <w:t>Bilimsel program ve uygulamalı eğitimler bir arada</w:t>
      </w:r>
    </w:p>
    <w:p w14:paraId="670EAFAE" w14:textId="77777777" w:rsid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IDEX İstanbul 2027, ticari görüşmelerin yanı sıra kapsamlı bilimsel ve mesleki gelişim programıyla da dikkat çekecek. Organizasyon kapsamında 25’in üzerinde SDE kredili konferans, 125’ten fazla uygulamalı kurs ve atölye ile 50’nin üzerinde uluslararası konuşmacının yer alması planlanıyor. Böylece katılımcılar, dental sektörün güncel uygulamalarını ve geleceğini şekillendiren gelişmeleri alanında uzman isimlerden takip etme fırsatı bulacak. </w:t>
      </w:r>
    </w:p>
    <w:p w14:paraId="3DDE0931" w14:textId="77777777" w:rsidR="007A6AA7" w:rsidRPr="007A6AA7" w:rsidRDefault="007A6AA7" w:rsidP="007A6AA7">
      <w:pPr>
        <w:pStyle w:val="AralkYok"/>
        <w:spacing w:line="360" w:lineRule="auto"/>
        <w:jc w:val="both"/>
        <w:rPr>
          <w:rFonts w:ascii="Times New Roman" w:hAnsi="Times New Roman" w:cs="Times New Roman"/>
        </w:rPr>
      </w:pPr>
    </w:p>
    <w:p w14:paraId="3976A644" w14:textId="77777777" w:rsid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Dijital diş hekimliği, yeni nesil tedavi ve görüntüleme teknolojileri, dental laboratuvar çözümleri, ekipmanlar, sarf malzemeleri ve sürdürülebilir uygulamalar gibi pek çok başlığın ele alınacağı fuar; üreticiler, distribütörler, yatırımcılar, akademisyenler ve sağlık profesyonelleri arasında yeni iş birliklerinin geliştirilmesine zemin hazırlayacak.</w:t>
      </w:r>
    </w:p>
    <w:p w14:paraId="24F406AE" w14:textId="77777777" w:rsidR="007A6AA7" w:rsidRPr="007A6AA7" w:rsidRDefault="007A6AA7" w:rsidP="007A6AA7">
      <w:pPr>
        <w:pStyle w:val="AralkYok"/>
        <w:spacing w:line="360" w:lineRule="auto"/>
        <w:jc w:val="both"/>
        <w:rPr>
          <w:rFonts w:ascii="Times New Roman" w:hAnsi="Times New Roman" w:cs="Times New Roman"/>
        </w:rPr>
      </w:pPr>
    </w:p>
    <w:p w14:paraId="29702F98" w14:textId="4FDEA705" w:rsidR="007A6AA7" w:rsidRDefault="007A6AA7" w:rsidP="007A6AA7">
      <w:pPr>
        <w:pStyle w:val="AralkYok"/>
        <w:spacing w:line="360" w:lineRule="auto"/>
        <w:jc w:val="both"/>
        <w:rPr>
          <w:rFonts w:ascii="Times New Roman" w:hAnsi="Times New Roman" w:cs="Times New Roman"/>
          <w:b/>
          <w:bCs/>
        </w:rPr>
      </w:pPr>
      <w:r w:rsidRPr="007A6AA7">
        <w:rPr>
          <w:rFonts w:ascii="Times New Roman" w:hAnsi="Times New Roman" w:cs="Times New Roman"/>
          <w:b/>
          <w:bCs/>
        </w:rPr>
        <w:t>Küresel dental pazarın İstanbul’daki buluşma platformu</w:t>
      </w:r>
    </w:p>
    <w:p w14:paraId="0436C122" w14:textId="0DC81BCD" w:rsidR="007A6AA7" w:rsidRDefault="007A6AA7" w:rsidP="007A6AA7">
      <w:pPr>
        <w:pStyle w:val="AralkYok"/>
        <w:spacing w:line="360" w:lineRule="auto"/>
        <w:jc w:val="both"/>
        <w:rPr>
          <w:rFonts w:ascii="Times New Roman" w:hAnsi="Times New Roman" w:cs="Times New Roman"/>
        </w:rPr>
      </w:pPr>
      <w:r>
        <w:rPr>
          <w:rFonts w:ascii="Times New Roman" w:hAnsi="Times New Roman" w:cs="Times New Roman"/>
        </w:rPr>
        <w:t>K</w:t>
      </w:r>
      <w:r w:rsidRPr="007A6AA7">
        <w:rPr>
          <w:rFonts w:ascii="Times New Roman" w:hAnsi="Times New Roman" w:cs="Times New Roman"/>
        </w:rPr>
        <w:t>üresel dengelerin yeniden şekillendiği bu dönemde; erişilebilirlik, güvenli ticaret ortamı ve sürdürülebilir iş bağlantıları her zamankinden daha kritik bir önem taşıyor. Avrupa, Asya, Orta Doğu ve Afrika’nın kesişim noktasında bulunan İstanbul ise stratejik konumu, güçlü ulaşım altyapısı ve uluslararası ticaret kapasitesiyle global dental pazardaki merkezi rolünü sürdürüyor. IDEX İstanbul 2027, sektör profesyonellerine yeni pazarlara erişme, uzun vadeli iş ortaklıkları geliştirme ve bölgesel ticaret fırsatlarını değerlendirme olanağı sunarak İstanbul’un güçlü bir uluslararası ticaret merkezi olma konumunu destekliyor.</w:t>
      </w:r>
    </w:p>
    <w:p w14:paraId="213E12EC" w14:textId="77777777" w:rsidR="007A6AA7" w:rsidRPr="007A6AA7" w:rsidRDefault="007A6AA7" w:rsidP="007A6AA7">
      <w:pPr>
        <w:pStyle w:val="AralkYok"/>
        <w:spacing w:line="360" w:lineRule="auto"/>
        <w:jc w:val="both"/>
        <w:rPr>
          <w:rFonts w:ascii="Times New Roman" w:hAnsi="Times New Roman" w:cs="Times New Roman"/>
        </w:rPr>
      </w:pPr>
    </w:p>
    <w:p w14:paraId="6D1A7088" w14:textId="77777777" w:rsid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Geçmiş dönem ziyaretçi verileri, IDEX İstanbul’un güçlü uluslararası erişimini ortaya koyuyor. Ziyaretçilerin yüzde 39,7’si Avrupa’dan, yüzde 21,8’i Orta Doğu ve Afrika’dan, yüzde 19,6’sı Doğu Avrupa’dan ve yüzde 15,7’si Asya’dan geldi. Kuzey Amerika, Latin Amerika ve Avustralya’dan gelen profesyonellerle birlikte fuar, dental sektörün küresel aktörlerini İstanbul’da buluşturan önemli bir uluslararası ticaret platformu niteliği taşıyor. </w:t>
      </w:r>
    </w:p>
    <w:p w14:paraId="5FA4F5BD" w14:textId="77777777" w:rsidR="007A6AA7" w:rsidRDefault="007A6AA7" w:rsidP="007A6AA7">
      <w:pPr>
        <w:pStyle w:val="AralkYok"/>
        <w:spacing w:line="360" w:lineRule="auto"/>
        <w:jc w:val="both"/>
        <w:rPr>
          <w:rFonts w:ascii="Times New Roman" w:hAnsi="Times New Roman" w:cs="Times New Roman"/>
        </w:rPr>
      </w:pPr>
    </w:p>
    <w:p w14:paraId="7C2DB4B9" w14:textId="77777777" w:rsidR="007A6AA7" w:rsidRDefault="007A6AA7" w:rsidP="007A6AA7">
      <w:pPr>
        <w:pStyle w:val="AralkYok"/>
        <w:spacing w:line="360" w:lineRule="auto"/>
        <w:jc w:val="both"/>
        <w:rPr>
          <w:rFonts w:ascii="Times New Roman" w:hAnsi="Times New Roman" w:cs="Times New Roman"/>
        </w:rPr>
      </w:pPr>
    </w:p>
    <w:p w14:paraId="0AF69B6B" w14:textId="77777777" w:rsidR="007A6AA7" w:rsidRDefault="007A6AA7" w:rsidP="007A6AA7">
      <w:pPr>
        <w:pStyle w:val="AralkYok"/>
        <w:spacing w:line="360" w:lineRule="auto"/>
        <w:jc w:val="both"/>
        <w:rPr>
          <w:rFonts w:ascii="Times New Roman" w:hAnsi="Times New Roman" w:cs="Times New Roman"/>
        </w:rPr>
      </w:pPr>
    </w:p>
    <w:p w14:paraId="0BBD38C6" w14:textId="77777777" w:rsidR="007A6AA7" w:rsidRPr="007A6AA7" w:rsidRDefault="007A6AA7" w:rsidP="007A6AA7">
      <w:pPr>
        <w:pStyle w:val="AralkYok"/>
        <w:spacing w:line="360" w:lineRule="auto"/>
        <w:jc w:val="both"/>
        <w:rPr>
          <w:rFonts w:ascii="Times New Roman" w:hAnsi="Times New Roman" w:cs="Times New Roman"/>
        </w:rPr>
      </w:pPr>
    </w:p>
    <w:p w14:paraId="2A5BF48A" w14:textId="77777777" w:rsidR="007A6AA7" w:rsidRPr="007A6AA7" w:rsidRDefault="007A6AA7" w:rsidP="007A6AA7">
      <w:pPr>
        <w:pStyle w:val="AralkYok"/>
        <w:spacing w:line="360" w:lineRule="auto"/>
        <w:jc w:val="both"/>
        <w:rPr>
          <w:rFonts w:ascii="Times New Roman" w:hAnsi="Times New Roman" w:cs="Times New Roman"/>
        </w:rPr>
      </w:pPr>
      <w:r w:rsidRPr="007A6AA7">
        <w:rPr>
          <w:rFonts w:ascii="Times New Roman" w:hAnsi="Times New Roman" w:cs="Times New Roman"/>
        </w:rPr>
        <w:t>“Dünyayı Gülümseten Teknolojiler IDEX İstanbul’da!” yaklaşımıyla gerçekleştirilecek IDEX İstanbul 2027, yenilikçi ürünlerin keşfedilmesi, teknolojik yatırımların şekillendirilmesi, yeni pazarlara erişim sağlanması ve uluslararası ticari ilişkilerin geliştirilmesi için sektöre dört günlük kapsamlı bir deneyim sunacak.</w:t>
      </w:r>
    </w:p>
    <w:p w14:paraId="08FB1B4E" w14:textId="1638E019" w:rsidR="00557FE9" w:rsidRPr="007A6AA7" w:rsidRDefault="00557FE9" w:rsidP="007A6AA7">
      <w:pPr>
        <w:pStyle w:val="AralkYok"/>
        <w:spacing w:line="360" w:lineRule="auto"/>
        <w:jc w:val="both"/>
        <w:rPr>
          <w:rFonts w:ascii="Times New Roman" w:hAnsi="Times New Roman" w:cs="Times New Roman"/>
        </w:rPr>
      </w:pPr>
    </w:p>
    <w:sectPr w:rsidR="00557FE9" w:rsidRPr="007A6AA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8CF2F7" w14:textId="77777777" w:rsidR="00DF0EBC" w:rsidRDefault="00DF0EBC" w:rsidP="00A350A6">
      <w:pPr>
        <w:spacing w:after="0" w:line="240" w:lineRule="auto"/>
      </w:pPr>
      <w:r>
        <w:separator/>
      </w:r>
    </w:p>
  </w:endnote>
  <w:endnote w:type="continuationSeparator" w:id="0">
    <w:p w14:paraId="62AD115E" w14:textId="77777777" w:rsidR="00DF0EBC" w:rsidRDefault="00DF0EBC" w:rsidP="00A35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DD4639" w14:textId="2027F59D" w:rsidR="00A350A6" w:rsidRDefault="00A350A6">
    <w:pPr>
      <w:pStyle w:val="AltBilgi"/>
    </w:pPr>
    <w:r>
      <w:rPr>
        <w:noProof/>
      </w:rPr>
      <w:drawing>
        <wp:inline distT="0" distB="0" distL="0" distR="0" wp14:anchorId="380655D0" wp14:editId="6FC3E429">
          <wp:extent cx="5760720" cy="774700"/>
          <wp:effectExtent l="0" t="0" r="0" b="0"/>
          <wp:docPr id="1141641628" name="Resim 2" descr="metin, ekran görüntüsü,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41628" name="Resim 2" descr="metin, ekran görüntüsü, yazı tipi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5760720" cy="7747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2DABBF" w14:textId="77777777" w:rsidR="00DF0EBC" w:rsidRDefault="00DF0EBC" w:rsidP="00A350A6">
      <w:pPr>
        <w:spacing w:after="0" w:line="240" w:lineRule="auto"/>
      </w:pPr>
      <w:r>
        <w:separator/>
      </w:r>
    </w:p>
  </w:footnote>
  <w:footnote w:type="continuationSeparator" w:id="0">
    <w:p w14:paraId="4DC61D41" w14:textId="77777777" w:rsidR="00DF0EBC" w:rsidRDefault="00DF0EBC" w:rsidP="00A35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C6D6F1" w14:textId="5920BA5F" w:rsidR="00A350A6" w:rsidRDefault="00A350A6">
    <w:pPr>
      <w:pStyle w:val="stBilgi"/>
    </w:pPr>
    <w:r>
      <w:rPr>
        <w:noProof/>
      </w:rPr>
      <w:drawing>
        <wp:inline distT="0" distB="0" distL="0" distR="0" wp14:anchorId="579AB6F6" wp14:editId="5D07ECE5">
          <wp:extent cx="5760720" cy="677545"/>
          <wp:effectExtent l="0" t="0" r="0" b="0"/>
          <wp:docPr id="149252479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24791" name="Resim 1492524791"/>
                  <pic:cNvPicPr/>
                </pic:nvPicPr>
                <pic:blipFill>
                  <a:blip r:embed="rId1">
                    <a:extLst>
                      <a:ext uri="{28A0092B-C50C-407E-A947-70E740481C1C}">
                        <a14:useLocalDpi xmlns:a14="http://schemas.microsoft.com/office/drawing/2010/main" val="0"/>
                      </a:ext>
                    </a:extLst>
                  </a:blip>
                  <a:stretch>
                    <a:fillRect/>
                  </a:stretch>
                </pic:blipFill>
                <pic:spPr>
                  <a:xfrm>
                    <a:off x="0" y="0"/>
                    <a:ext cx="5760720" cy="6775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C5300"/>
    <w:multiLevelType w:val="multilevel"/>
    <w:tmpl w:val="C7A4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60F09"/>
    <w:multiLevelType w:val="multilevel"/>
    <w:tmpl w:val="242C1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C61D7"/>
    <w:multiLevelType w:val="multilevel"/>
    <w:tmpl w:val="9748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93838"/>
    <w:multiLevelType w:val="multilevel"/>
    <w:tmpl w:val="0002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97FF8"/>
    <w:multiLevelType w:val="multilevel"/>
    <w:tmpl w:val="2EB2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52816"/>
    <w:multiLevelType w:val="hybridMultilevel"/>
    <w:tmpl w:val="2EE67C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00C243A"/>
    <w:multiLevelType w:val="multilevel"/>
    <w:tmpl w:val="E806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DC2896"/>
    <w:multiLevelType w:val="hybridMultilevel"/>
    <w:tmpl w:val="68CCDF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E607AE6"/>
    <w:multiLevelType w:val="multilevel"/>
    <w:tmpl w:val="2F4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873997">
    <w:abstractNumId w:val="1"/>
  </w:num>
  <w:num w:numId="2" w16cid:durableId="465977781">
    <w:abstractNumId w:val="4"/>
  </w:num>
  <w:num w:numId="3" w16cid:durableId="1054231841">
    <w:abstractNumId w:val="0"/>
  </w:num>
  <w:num w:numId="4" w16cid:durableId="1373723799">
    <w:abstractNumId w:val="3"/>
  </w:num>
  <w:num w:numId="5" w16cid:durableId="684209009">
    <w:abstractNumId w:val="6"/>
  </w:num>
  <w:num w:numId="6" w16cid:durableId="41760397">
    <w:abstractNumId w:val="2"/>
  </w:num>
  <w:num w:numId="7" w16cid:durableId="2032996797">
    <w:abstractNumId w:val="8"/>
  </w:num>
  <w:num w:numId="8" w16cid:durableId="1200437299">
    <w:abstractNumId w:val="5"/>
  </w:num>
  <w:num w:numId="9" w16cid:durableId="353388116">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0A6"/>
    <w:rsid w:val="00012FDA"/>
    <w:rsid w:val="00215A55"/>
    <w:rsid w:val="003962CF"/>
    <w:rsid w:val="004C05EC"/>
    <w:rsid w:val="0051293B"/>
    <w:rsid w:val="00557FE9"/>
    <w:rsid w:val="005C3112"/>
    <w:rsid w:val="00610A05"/>
    <w:rsid w:val="006A6E39"/>
    <w:rsid w:val="006C3348"/>
    <w:rsid w:val="007356DC"/>
    <w:rsid w:val="00761DBA"/>
    <w:rsid w:val="007A6AA7"/>
    <w:rsid w:val="007B2A97"/>
    <w:rsid w:val="008D3993"/>
    <w:rsid w:val="008F2A50"/>
    <w:rsid w:val="0090362B"/>
    <w:rsid w:val="00A350A6"/>
    <w:rsid w:val="00A654FC"/>
    <w:rsid w:val="00B60D3E"/>
    <w:rsid w:val="00DF0EBC"/>
    <w:rsid w:val="00EC6A6F"/>
    <w:rsid w:val="00F6015B"/>
    <w:rsid w:val="00FE66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E935"/>
  <w15:chartTrackingRefBased/>
  <w15:docId w15:val="{E85D13AA-D55C-6942-A9E3-3DCB40D9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35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A35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A350A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350A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350A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350A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350A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350A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350A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350A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A350A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A350A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350A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350A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350A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350A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350A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350A6"/>
    <w:rPr>
      <w:rFonts w:eastAsiaTheme="majorEastAsia" w:cstheme="majorBidi"/>
      <w:color w:val="272727" w:themeColor="text1" w:themeTint="D8"/>
    </w:rPr>
  </w:style>
  <w:style w:type="paragraph" w:styleId="KonuBal">
    <w:name w:val="Title"/>
    <w:basedOn w:val="Normal"/>
    <w:next w:val="Normal"/>
    <w:link w:val="KonuBalChar"/>
    <w:uiPriority w:val="10"/>
    <w:qFormat/>
    <w:rsid w:val="00A35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350A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350A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350A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350A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350A6"/>
    <w:rPr>
      <w:i/>
      <w:iCs/>
      <w:color w:val="404040" w:themeColor="text1" w:themeTint="BF"/>
    </w:rPr>
  </w:style>
  <w:style w:type="paragraph" w:styleId="ListeParagraf">
    <w:name w:val="List Paragraph"/>
    <w:basedOn w:val="Normal"/>
    <w:uiPriority w:val="34"/>
    <w:qFormat/>
    <w:rsid w:val="00A350A6"/>
    <w:pPr>
      <w:ind w:left="720"/>
      <w:contextualSpacing/>
    </w:pPr>
  </w:style>
  <w:style w:type="character" w:styleId="GlVurgulama">
    <w:name w:val="Intense Emphasis"/>
    <w:basedOn w:val="VarsaylanParagrafYazTipi"/>
    <w:uiPriority w:val="21"/>
    <w:qFormat/>
    <w:rsid w:val="00A350A6"/>
    <w:rPr>
      <w:i/>
      <w:iCs/>
      <w:color w:val="0F4761" w:themeColor="accent1" w:themeShade="BF"/>
    </w:rPr>
  </w:style>
  <w:style w:type="paragraph" w:styleId="GlAlnt">
    <w:name w:val="Intense Quote"/>
    <w:basedOn w:val="Normal"/>
    <w:next w:val="Normal"/>
    <w:link w:val="GlAlntChar"/>
    <w:uiPriority w:val="30"/>
    <w:qFormat/>
    <w:rsid w:val="00A35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350A6"/>
    <w:rPr>
      <w:i/>
      <w:iCs/>
      <w:color w:val="0F4761" w:themeColor="accent1" w:themeShade="BF"/>
    </w:rPr>
  </w:style>
  <w:style w:type="character" w:styleId="GlBavuru">
    <w:name w:val="Intense Reference"/>
    <w:basedOn w:val="VarsaylanParagrafYazTipi"/>
    <w:uiPriority w:val="32"/>
    <w:qFormat/>
    <w:rsid w:val="00A350A6"/>
    <w:rPr>
      <w:b/>
      <w:bCs/>
      <w:smallCaps/>
      <w:color w:val="0F4761" w:themeColor="accent1" w:themeShade="BF"/>
      <w:spacing w:val="5"/>
    </w:rPr>
  </w:style>
  <w:style w:type="paragraph" w:styleId="stBilgi">
    <w:name w:val="header"/>
    <w:basedOn w:val="Normal"/>
    <w:link w:val="stBilgiChar"/>
    <w:uiPriority w:val="99"/>
    <w:unhideWhenUsed/>
    <w:rsid w:val="00A350A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350A6"/>
  </w:style>
  <w:style w:type="paragraph" w:styleId="AltBilgi">
    <w:name w:val="footer"/>
    <w:basedOn w:val="Normal"/>
    <w:link w:val="AltBilgiChar"/>
    <w:uiPriority w:val="99"/>
    <w:unhideWhenUsed/>
    <w:rsid w:val="00A350A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350A6"/>
  </w:style>
  <w:style w:type="paragraph" w:styleId="AralkYok">
    <w:name w:val="No Spacing"/>
    <w:uiPriority w:val="1"/>
    <w:qFormat/>
    <w:rsid w:val="00557FE9"/>
    <w:pPr>
      <w:spacing w:after="0" w:line="240" w:lineRule="auto"/>
    </w:pPr>
  </w:style>
  <w:style w:type="paragraph" w:styleId="NormalWeb">
    <w:name w:val="Normal (Web)"/>
    <w:basedOn w:val="Normal"/>
    <w:uiPriority w:val="99"/>
    <w:semiHidden/>
    <w:unhideWhenUsed/>
    <w:rsid w:val="00A654FC"/>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A654FC"/>
    <w:rPr>
      <w:b/>
      <w:bCs/>
    </w:rPr>
  </w:style>
  <w:style w:type="character" w:customStyle="1" w:styleId="apple-converted-space">
    <w:name w:val="apple-converted-space"/>
    <w:basedOn w:val="VarsaylanParagrafYazTipi"/>
    <w:rsid w:val="00A654FC"/>
  </w:style>
  <w:style w:type="paragraph" w:customStyle="1" w:styleId="pdq2pgselectionanchorcontainer">
    <w:name w:val="pdq2pg_selectionanchorcontainer"/>
    <w:basedOn w:val="Normal"/>
    <w:rsid w:val="007A6AA7"/>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509</Words>
  <Characters>3703</Characters>
  <Application>Microsoft Office Word</Application>
  <DocSecurity>0</DocSecurity>
  <Lines>69</Lines>
  <Paragraphs>17</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CEM EGE</dc:creator>
  <cp:keywords/>
  <dc:description/>
  <cp:lastModifiedBy>Alkan Usta</cp:lastModifiedBy>
  <cp:revision>3</cp:revision>
  <dcterms:created xsi:type="dcterms:W3CDTF">2026-08-03T05:28:00Z</dcterms:created>
  <dcterms:modified xsi:type="dcterms:W3CDTF">2026-08-03T05:38:00Z</dcterms:modified>
</cp:coreProperties>
</file>